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2C" w:rsidRPr="00615A49" w:rsidRDefault="005633B0">
      <w:pPr>
        <w:jc w:val="center"/>
        <w:rPr>
          <w:b/>
          <w:sz w:val="36"/>
          <w:szCs w:val="36"/>
        </w:rPr>
      </w:pPr>
      <w:r w:rsidRPr="00615A49">
        <w:rPr>
          <w:rFonts w:hint="eastAsia"/>
          <w:b/>
          <w:sz w:val="36"/>
          <w:szCs w:val="36"/>
        </w:rPr>
        <w:t>东莞市</w:t>
      </w:r>
      <w:r w:rsidR="009269B8">
        <w:rPr>
          <w:rFonts w:hint="eastAsia"/>
          <w:b/>
          <w:sz w:val="36"/>
          <w:szCs w:val="36"/>
        </w:rPr>
        <w:t>水务行业</w:t>
      </w:r>
      <w:r w:rsidRPr="00615A49">
        <w:rPr>
          <w:rFonts w:hint="eastAsia"/>
          <w:b/>
          <w:sz w:val="36"/>
          <w:szCs w:val="36"/>
        </w:rPr>
        <w:t>协会团体标准立项评审表</w:t>
      </w:r>
    </w:p>
    <w:p w:rsidR="00412CDE" w:rsidRPr="00222C2C" w:rsidRDefault="00412CDE">
      <w:pPr>
        <w:jc w:val="center"/>
        <w:rPr>
          <w:sz w:val="36"/>
          <w:szCs w:val="36"/>
        </w:rPr>
      </w:pPr>
    </w:p>
    <w:p w:rsidR="00412CDE" w:rsidRPr="00412CDE" w:rsidRDefault="005633B0">
      <w:pPr>
        <w:rPr>
          <w:sz w:val="32"/>
        </w:rPr>
      </w:pPr>
      <w:r w:rsidRPr="00412CDE">
        <w:rPr>
          <w:rFonts w:hint="eastAsia"/>
          <w:sz w:val="32"/>
        </w:rPr>
        <w:t>项目名称：</w:t>
      </w:r>
      <w:r w:rsidR="009269B8" w:rsidRPr="009269B8">
        <w:rPr>
          <w:rFonts w:hint="eastAsia"/>
          <w:sz w:val="32"/>
        </w:rPr>
        <w:t>道路复合</w:t>
      </w:r>
      <w:proofErr w:type="gramStart"/>
      <w:r w:rsidR="009269B8" w:rsidRPr="009269B8">
        <w:rPr>
          <w:rFonts w:hint="eastAsia"/>
          <w:sz w:val="32"/>
        </w:rPr>
        <w:t>稳定土</w:t>
      </w:r>
      <w:proofErr w:type="gramEnd"/>
      <w:r w:rsidR="009269B8" w:rsidRPr="009269B8">
        <w:rPr>
          <w:rFonts w:hint="eastAsia"/>
          <w:sz w:val="32"/>
        </w:rPr>
        <w:t>应用技术规范</w:t>
      </w:r>
    </w:p>
    <w:tbl>
      <w:tblPr>
        <w:tblStyle w:val="a3"/>
        <w:tblW w:w="8522" w:type="dxa"/>
        <w:tblLayout w:type="fixed"/>
        <w:tblLook w:val="04A0" w:firstRow="1" w:lastRow="0" w:firstColumn="1" w:lastColumn="0" w:noHBand="0" w:noVBand="1"/>
      </w:tblPr>
      <w:tblGrid>
        <w:gridCol w:w="1101"/>
        <w:gridCol w:w="3260"/>
        <w:gridCol w:w="1984"/>
        <w:gridCol w:w="1107"/>
        <w:gridCol w:w="1070"/>
      </w:tblGrid>
      <w:tr w:rsidR="00901BD5">
        <w:tc>
          <w:tcPr>
            <w:tcW w:w="1101" w:type="dxa"/>
          </w:tcPr>
          <w:p w:rsidR="00901BD5" w:rsidRDefault="005633B0">
            <w:r>
              <w:rPr>
                <w:rFonts w:hint="eastAsia"/>
              </w:rPr>
              <w:t>评价内容</w:t>
            </w:r>
          </w:p>
        </w:tc>
        <w:tc>
          <w:tcPr>
            <w:tcW w:w="3260" w:type="dxa"/>
          </w:tcPr>
          <w:p w:rsidR="00901BD5" w:rsidRDefault="005633B0">
            <w:pPr>
              <w:jc w:val="center"/>
            </w:pPr>
            <w:r>
              <w:rPr>
                <w:rFonts w:hint="eastAsia"/>
              </w:rPr>
              <w:t>评价标准</w:t>
            </w:r>
          </w:p>
        </w:tc>
        <w:tc>
          <w:tcPr>
            <w:tcW w:w="1984" w:type="dxa"/>
          </w:tcPr>
          <w:p w:rsidR="00901BD5" w:rsidRDefault="005633B0">
            <w:r>
              <w:rPr>
                <w:rFonts w:hint="eastAsia"/>
              </w:rPr>
              <w:t>评价方法（</w:t>
            </w:r>
            <w:r>
              <w:rPr>
                <w:rFonts w:hint="eastAsia"/>
              </w:rPr>
              <w:t>100</w:t>
            </w:r>
            <w:r>
              <w:rPr>
                <w:rFonts w:hint="eastAsia"/>
              </w:rPr>
              <w:t>分）</w:t>
            </w:r>
          </w:p>
        </w:tc>
        <w:tc>
          <w:tcPr>
            <w:tcW w:w="1107" w:type="dxa"/>
          </w:tcPr>
          <w:p w:rsidR="00901BD5" w:rsidRDefault="005633B0">
            <w:r>
              <w:rPr>
                <w:rFonts w:hint="eastAsia"/>
              </w:rPr>
              <w:t>评价分数</w:t>
            </w:r>
          </w:p>
        </w:tc>
        <w:tc>
          <w:tcPr>
            <w:tcW w:w="1070" w:type="dxa"/>
          </w:tcPr>
          <w:p w:rsidR="00901BD5" w:rsidRDefault="005633B0">
            <w:r>
              <w:rPr>
                <w:rFonts w:hint="eastAsia"/>
              </w:rPr>
              <w:t>实际得分</w:t>
            </w:r>
          </w:p>
        </w:tc>
      </w:tr>
      <w:tr w:rsidR="00901BD5" w:rsidTr="00412CDE">
        <w:tc>
          <w:tcPr>
            <w:tcW w:w="1101" w:type="dxa"/>
            <w:vMerge w:val="restart"/>
            <w:vAlign w:val="center"/>
          </w:tcPr>
          <w:p w:rsidR="00901BD5" w:rsidRDefault="005633B0" w:rsidP="00FA50F5">
            <w:pPr>
              <w:jc w:val="center"/>
            </w:pPr>
            <w:r>
              <w:rPr>
                <w:rFonts w:hint="eastAsia"/>
              </w:rPr>
              <w:t>1</w:t>
            </w:r>
            <w:r>
              <w:rPr>
                <w:rFonts w:hint="eastAsia"/>
              </w:rPr>
              <w:t>目的意义（</w:t>
            </w:r>
            <w:r>
              <w:rPr>
                <w:rFonts w:hint="eastAsia"/>
              </w:rPr>
              <w:t>10</w:t>
            </w:r>
            <w:r>
              <w:rPr>
                <w:rFonts w:hint="eastAsia"/>
              </w:rPr>
              <w:t>分）</w:t>
            </w:r>
          </w:p>
        </w:tc>
        <w:tc>
          <w:tcPr>
            <w:tcW w:w="3260" w:type="dxa"/>
          </w:tcPr>
          <w:p w:rsidR="00901BD5" w:rsidRDefault="005633B0">
            <w:r>
              <w:rPr>
                <w:rFonts w:hint="eastAsia"/>
              </w:rPr>
              <w:t>立项目的清晰，国内外标准化情况分析全面具体，需求明确，对社会经济发展意义重大。</w:t>
            </w:r>
          </w:p>
        </w:tc>
        <w:tc>
          <w:tcPr>
            <w:tcW w:w="1984" w:type="dxa"/>
            <w:vMerge w:val="restart"/>
            <w:vAlign w:val="center"/>
          </w:tcPr>
          <w:p w:rsidR="00901BD5" w:rsidRDefault="005633B0" w:rsidP="00412CDE">
            <w:r>
              <w:rPr>
                <w:rFonts w:hint="eastAsia"/>
              </w:rPr>
              <w:t>立项目的详细清晰（</w:t>
            </w:r>
            <w:r>
              <w:rPr>
                <w:rFonts w:hint="eastAsia"/>
              </w:rPr>
              <w:t>2</w:t>
            </w:r>
            <w:r>
              <w:rPr>
                <w:rFonts w:hint="eastAsia"/>
              </w:rPr>
              <w:t>分），并具有行业国内外标准化情况调查报告（</w:t>
            </w:r>
            <w:r>
              <w:rPr>
                <w:rFonts w:hint="eastAsia"/>
              </w:rPr>
              <w:t>5</w:t>
            </w:r>
            <w:r>
              <w:rPr>
                <w:rFonts w:hint="eastAsia"/>
              </w:rPr>
              <w:t>分），对社会经济发展意义重大（</w:t>
            </w:r>
            <w:r>
              <w:rPr>
                <w:rFonts w:hint="eastAsia"/>
              </w:rPr>
              <w:t>3</w:t>
            </w:r>
            <w:r>
              <w:rPr>
                <w:rFonts w:hint="eastAsia"/>
              </w:rPr>
              <w:t>分）。</w:t>
            </w:r>
          </w:p>
        </w:tc>
        <w:tc>
          <w:tcPr>
            <w:tcW w:w="1107" w:type="dxa"/>
            <w:vAlign w:val="center"/>
          </w:tcPr>
          <w:p w:rsidR="00901BD5" w:rsidRDefault="005633B0" w:rsidP="00A77156">
            <w:pPr>
              <w:jc w:val="center"/>
            </w:pPr>
            <w:r>
              <w:rPr>
                <w:rFonts w:hint="eastAsia"/>
              </w:rPr>
              <w:t>8-10</w:t>
            </w:r>
            <w:r>
              <w:rPr>
                <w:rFonts w:hint="eastAsia"/>
              </w:rPr>
              <w:t>分</w:t>
            </w:r>
          </w:p>
        </w:tc>
        <w:tc>
          <w:tcPr>
            <w:tcW w:w="1070" w:type="dxa"/>
            <w:vMerge w:val="restart"/>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立项目的较清晰，国内外标准化情况分析具体，需求较明确，对社会经济发展意义较大。</w:t>
            </w:r>
          </w:p>
        </w:tc>
        <w:tc>
          <w:tcPr>
            <w:tcW w:w="1984" w:type="dxa"/>
            <w:vMerge/>
          </w:tcPr>
          <w:p w:rsidR="00901BD5" w:rsidRDefault="00901BD5"/>
        </w:tc>
        <w:tc>
          <w:tcPr>
            <w:tcW w:w="1107" w:type="dxa"/>
            <w:vAlign w:val="center"/>
          </w:tcPr>
          <w:p w:rsidR="00901BD5" w:rsidRDefault="005633B0" w:rsidP="00A77156">
            <w:pPr>
              <w:jc w:val="center"/>
            </w:pPr>
            <w:r>
              <w:rPr>
                <w:rFonts w:hint="eastAsia"/>
              </w:rPr>
              <w:t>5-8</w:t>
            </w:r>
            <w:r>
              <w:rPr>
                <w:rFonts w:hint="eastAsia"/>
              </w:rPr>
              <w:t>分</w:t>
            </w:r>
          </w:p>
        </w:tc>
        <w:tc>
          <w:tcPr>
            <w:tcW w:w="1070" w:type="dxa"/>
            <w:vMerge/>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立项目的一般，国内外标准化情况分析一般，需求一般，对社会经济发展意义一般。</w:t>
            </w:r>
          </w:p>
        </w:tc>
        <w:tc>
          <w:tcPr>
            <w:tcW w:w="1984" w:type="dxa"/>
            <w:vMerge/>
          </w:tcPr>
          <w:p w:rsidR="00901BD5" w:rsidRDefault="00901BD5"/>
        </w:tc>
        <w:tc>
          <w:tcPr>
            <w:tcW w:w="1107" w:type="dxa"/>
            <w:vAlign w:val="center"/>
          </w:tcPr>
          <w:p w:rsidR="00901BD5" w:rsidRDefault="005633B0" w:rsidP="00A77156">
            <w:pPr>
              <w:jc w:val="center"/>
            </w:pPr>
            <w:r>
              <w:rPr>
                <w:rFonts w:hint="eastAsia"/>
              </w:rPr>
              <w:t>0-5</w:t>
            </w:r>
            <w:r>
              <w:rPr>
                <w:rFonts w:hint="eastAsia"/>
              </w:rPr>
              <w:t>分</w:t>
            </w:r>
          </w:p>
        </w:tc>
        <w:tc>
          <w:tcPr>
            <w:tcW w:w="1070" w:type="dxa"/>
            <w:vMerge/>
            <w:vAlign w:val="center"/>
          </w:tcPr>
          <w:p w:rsidR="00901BD5" w:rsidRDefault="00901BD5" w:rsidP="00A77156">
            <w:pPr>
              <w:jc w:val="center"/>
            </w:pPr>
          </w:p>
        </w:tc>
      </w:tr>
      <w:tr w:rsidR="00901BD5" w:rsidTr="00412CDE">
        <w:tc>
          <w:tcPr>
            <w:tcW w:w="1101" w:type="dxa"/>
            <w:vMerge w:val="restart"/>
            <w:vAlign w:val="center"/>
          </w:tcPr>
          <w:p w:rsidR="00901BD5" w:rsidRDefault="005633B0" w:rsidP="00FA50F5">
            <w:pPr>
              <w:jc w:val="center"/>
            </w:pPr>
            <w:r>
              <w:rPr>
                <w:rFonts w:hint="eastAsia"/>
              </w:rPr>
              <w:t>2</w:t>
            </w:r>
            <w:r>
              <w:rPr>
                <w:rFonts w:hint="eastAsia"/>
              </w:rPr>
              <w:t>创新性（</w:t>
            </w:r>
            <w:r>
              <w:rPr>
                <w:rFonts w:hint="eastAsia"/>
              </w:rPr>
              <w:t>30</w:t>
            </w:r>
            <w:r>
              <w:rPr>
                <w:rFonts w:hint="eastAsia"/>
              </w:rPr>
              <w:t>分）</w:t>
            </w:r>
          </w:p>
        </w:tc>
        <w:tc>
          <w:tcPr>
            <w:tcW w:w="3260" w:type="dxa"/>
          </w:tcPr>
          <w:p w:rsidR="00901BD5" w:rsidRDefault="005633B0">
            <w:r>
              <w:rPr>
                <w:rFonts w:hint="eastAsia"/>
              </w:rPr>
              <w:t>标准涉及技术或模式先进，获得发明或实用新型专利，填补行业标准空白，对行业发展具有引领作用。</w:t>
            </w:r>
          </w:p>
        </w:tc>
        <w:tc>
          <w:tcPr>
            <w:tcW w:w="1984" w:type="dxa"/>
            <w:vMerge w:val="restart"/>
            <w:vAlign w:val="center"/>
          </w:tcPr>
          <w:p w:rsidR="00901BD5" w:rsidRDefault="005633B0" w:rsidP="00412CDE">
            <w:r>
              <w:rPr>
                <w:rFonts w:hint="eastAsia"/>
              </w:rPr>
              <w:t>能提供专利文本证明含有专利技术（</w:t>
            </w:r>
            <w:r>
              <w:rPr>
                <w:rFonts w:hint="eastAsia"/>
              </w:rPr>
              <w:t>15</w:t>
            </w:r>
            <w:r>
              <w:rPr>
                <w:rFonts w:hint="eastAsia"/>
              </w:rPr>
              <w:t>分），提供行业标准查询报告证明填补标准空白（</w:t>
            </w:r>
            <w:r>
              <w:rPr>
                <w:rFonts w:hint="eastAsia"/>
              </w:rPr>
              <w:t>10</w:t>
            </w:r>
            <w:r>
              <w:rPr>
                <w:rFonts w:hint="eastAsia"/>
              </w:rPr>
              <w:t>分），产品突破行业的传统发展情况（</w:t>
            </w:r>
            <w:r>
              <w:rPr>
                <w:rFonts w:hint="eastAsia"/>
              </w:rPr>
              <w:t>5</w:t>
            </w:r>
            <w:r>
              <w:rPr>
                <w:rFonts w:hint="eastAsia"/>
              </w:rPr>
              <w:t>分）</w:t>
            </w:r>
          </w:p>
        </w:tc>
        <w:tc>
          <w:tcPr>
            <w:tcW w:w="1107" w:type="dxa"/>
            <w:vAlign w:val="center"/>
          </w:tcPr>
          <w:p w:rsidR="00901BD5" w:rsidRDefault="005633B0" w:rsidP="00A77156">
            <w:pPr>
              <w:jc w:val="center"/>
            </w:pPr>
            <w:r>
              <w:rPr>
                <w:rFonts w:hint="eastAsia"/>
              </w:rPr>
              <w:t>30</w:t>
            </w:r>
            <w:r>
              <w:rPr>
                <w:rFonts w:hint="eastAsia"/>
              </w:rPr>
              <w:t>分</w:t>
            </w:r>
          </w:p>
        </w:tc>
        <w:tc>
          <w:tcPr>
            <w:tcW w:w="1070" w:type="dxa"/>
            <w:vMerge w:val="restart"/>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标准涉及技术或模式先进，填补行业标准空白，对行业发展具有引领作用。</w:t>
            </w:r>
          </w:p>
        </w:tc>
        <w:tc>
          <w:tcPr>
            <w:tcW w:w="1984" w:type="dxa"/>
            <w:vMerge/>
          </w:tcPr>
          <w:p w:rsidR="00901BD5" w:rsidRDefault="00901BD5"/>
        </w:tc>
        <w:tc>
          <w:tcPr>
            <w:tcW w:w="1107" w:type="dxa"/>
            <w:vAlign w:val="center"/>
          </w:tcPr>
          <w:p w:rsidR="00901BD5" w:rsidRDefault="005633B0" w:rsidP="00A77156">
            <w:pPr>
              <w:jc w:val="center"/>
            </w:pPr>
            <w:r>
              <w:rPr>
                <w:rFonts w:hint="eastAsia"/>
              </w:rPr>
              <w:t>25</w:t>
            </w:r>
            <w:r>
              <w:rPr>
                <w:rFonts w:hint="eastAsia"/>
              </w:rPr>
              <w:t>分</w:t>
            </w:r>
          </w:p>
        </w:tc>
        <w:tc>
          <w:tcPr>
            <w:tcW w:w="1070" w:type="dxa"/>
            <w:vMerge/>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标准涉及技术或模式先进，对行业发展具有引导作用。</w:t>
            </w:r>
          </w:p>
        </w:tc>
        <w:tc>
          <w:tcPr>
            <w:tcW w:w="1984" w:type="dxa"/>
            <w:vMerge/>
          </w:tcPr>
          <w:p w:rsidR="00901BD5" w:rsidRDefault="00901BD5"/>
        </w:tc>
        <w:tc>
          <w:tcPr>
            <w:tcW w:w="1107" w:type="dxa"/>
            <w:vAlign w:val="center"/>
          </w:tcPr>
          <w:p w:rsidR="00901BD5" w:rsidRDefault="005633B0" w:rsidP="00A77156">
            <w:pPr>
              <w:jc w:val="center"/>
            </w:pPr>
            <w:r>
              <w:rPr>
                <w:rFonts w:hint="eastAsia"/>
              </w:rPr>
              <w:t>5</w:t>
            </w:r>
            <w:r>
              <w:rPr>
                <w:rFonts w:hint="eastAsia"/>
              </w:rPr>
              <w:t>分</w:t>
            </w:r>
          </w:p>
        </w:tc>
        <w:tc>
          <w:tcPr>
            <w:tcW w:w="1070" w:type="dxa"/>
            <w:vMerge/>
            <w:vAlign w:val="center"/>
          </w:tcPr>
          <w:p w:rsidR="00901BD5" w:rsidRDefault="00901BD5" w:rsidP="00A77156">
            <w:pPr>
              <w:jc w:val="center"/>
            </w:pPr>
          </w:p>
        </w:tc>
      </w:tr>
      <w:tr w:rsidR="00901BD5" w:rsidTr="00412CDE">
        <w:tc>
          <w:tcPr>
            <w:tcW w:w="1101" w:type="dxa"/>
            <w:vMerge w:val="restart"/>
            <w:vAlign w:val="center"/>
          </w:tcPr>
          <w:p w:rsidR="00901BD5" w:rsidRDefault="005633B0" w:rsidP="00FA50F5">
            <w:pPr>
              <w:jc w:val="center"/>
            </w:pPr>
            <w:r>
              <w:rPr>
                <w:rFonts w:hint="eastAsia"/>
              </w:rPr>
              <w:t>3</w:t>
            </w:r>
            <w:r>
              <w:rPr>
                <w:rFonts w:hint="eastAsia"/>
              </w:rPr>
              <w:t>技术水平（</w:t>
            </w:r>
            <w:r>
              <w:rPr>
                <w:rFonts w:hint="eastAsia"/>
              </w:rPr>
              <w:t>30</w:t>
            </w:r>
            <w:r>
              <w:rPr>
                <w:rFonts w:hint="eastAsia"/>
              </w:rPr>
              <w:t>分）</w:t>
            </w:r>
          </w:p>
        </w:tc>
        <w:tc>
          <w:tcPr>
            <w:tcW w:w="3260" w:type="dxa"/>
          </w:tcPr>
          <w:p w:rsidR="00901BD5" w:rsidRDefault="005633B0">
            <w:r>
              <w:rPr>
                <w:rFonts w:hint="eastAsia"/>
              </w:rPr>
              <w:t>标准内容准确反映产品用途和差异化的特性，可验证方法充分，主要指标具备国际标准或国外先进标准的水平或严于国内现行标准或补充新技术的指标。</w:t>
            </w:r>
          </w:p>
        </w:tc>
        <w:tc>
          <w:tcPr>
            <w:tcW w:w="1984" w:type="dxa"/>
            <w:vMerge w:val="restart"/>
            <w:vAlign w:val="center"/>
          </w:tcPr>
          <w:p w:rsidR="00901BD5" w:rsidRDefault="005633B0" w:rsidP="00412CDE">
            <w:r>
              <w:rPr>
                <w:rFonts w:hint="eastAsia"/>
              </w:rPr>
              <w:t>达到国际或国外先进标准水平（</w:t>
            </w:r>
            <w:r>
              <w:rPr>
                <w:rFonts w:hint="eastAsia"/>
              </w:rPr>
              <w:t>15</w:t>
            </w:r>
            <w:r>
              <w:rPr>
                <w:rFonts w:hint="eastAsia"/>
              </w:rPr>
              <w:t>分），在原有标准上补充新技术指标（</w:t>
            </w:r>
            <w:r>
              <w:rPr>
                <w:rFonts w:hint="eastAsia"/>
              </w:rPr>
              <w:t>10</w:t>
            </w:r>
            <w:r>
              <w:rPr>
                <w:rFonts w:hint="eastAsia"/>
              </w:rPr>
              <w:t>分），只严于国内现行标准情况（</w:t>
            </w:r>
            <w:r>
              <w:rPr>
                <w:rFonts w:hint="eastAsia"/>
              </w:rPr>
              <w:t>5</w:t>
            </w:r>
            <w:r>
              <w:rPr>
                <w:rFonts w:hint="eastAsia"/>
              </w:rPr>
              <w:t>分）。</w:t>
            </w:r>
          </w:p>
        </w:tc>
        <w:tc>
          <w:tcPr>
            <w:tcW w:w="1107" w:type="dxa"/>
            <w:vAlign w:val="center"/>
          </w:tcPr>
          <w:p w:rsidR="00901BD5" w:rsidRDefault="005633B0" w:rsidP="00A77156">
            <w:pPr>
              <w:jc w:val="center"/>
            </w:pPr>
            <w:r>
              <w:rPr>
                <w:rFonts w:hint="eastAsia"/>
              </w:rPr>
              <w:t>30</w:t>
            </w:r>
            <w:r>
              <w:rPr>
                <w:rFonts w:hint="eastAsia"/>
              </w:rPr>
              <w:t>分</w:t>
            </w:r>
          </w:p>
        </w:tc>
        <w:tc>
          <w:tcPr>
            <w:tcW w:w="1070" w:type="dxa"/>
            <w:vMerge w:val="restart"/>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标准内容准确反映产品用途和差异化的特性，可验证方法充分，主要指标严于国内现行标准或补充新技术的指标。</w:t>
            </w:r>
          </w:p>
        </w:tc>
        <w:tc>
          <w:tcPr>
            <w:tcW w:w="1984" w:type="dxa"/>
            <w:vMerge/>
          </w:tcPr>
          <w:p w:rsidR="00901BD5" w:rsidRDefault="00901BD5"/>
        </w:tc>
        <w:tc>
          <w:tcPr>
            <w:tcW w:w="1107" w:type="dxa"/>
            <w:vAlign w:val="center"/>
          </w:tcPr>
          <w:p w:rsidR="00901BD5" w:rsidRDefault="005633B0" w:rsidP="00A77156">
            <w:pPr>
              <w:jc w:val="center"/>
            </w:pPr>
            <w:r>
              <w:rPr>
                <w:rFonts w:hint="eastAsia"/>
              </w:rPr>
              <w:t>25</w:t>
            </w:r>
            <w:r>
              <w:rPr>
                <w:rFonts w:hint="eastAsia"/>
              </w:rPr>
              <w:t>分</w:t>
            </w:r>
          </w:p>
        </w:tc>
        <w:tc>
          <w:tcPr>
            <w:tcW w:w="1070" w:type="dxa"/>
            <w:vMerge/>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标准内容准确反映产品用途和差异化的特性，可验证方法充分，主要指标严于国内现行标准。</w:t>
            </w:r>
          </w:p>
        </w:tc>
        <w:tc>
          <w:tcPr>
            <w:tcW w:w="1984" w:type="dxa"/>
            <w:vMerge/>
          </w:tcPr>
          <w:p w:rsidR="00901BD5" w:rsidRDefault="00901BD5"/>
        </w:tc>
        <w:tc>
          <w:tcPr>
            <w:tcW w:w="1107" w:type="dxa"/>
            <w:vAlign w:val="center"/>
          </w:tcPr>
          <w:p w:rsidR="00901BD5" w:rsidRDefault="005633B0" w:rsidP="00A77156">
            <w:pPr>
              <w:jc w:val="center"/>
            </w:pPr>
            <w:r>
              <w:rPr>
                <w:rFonts w:hint="eastAsia"/>
              </w:rPr>
              <w:t>5</w:t>
            </w:r>
            <w:r>
              <w:rPr>
                <w:rFonts w:hint="eastAsia"/>
              </w:rPr>
              <w:t>分</w:t>
            </w:r>
          </w:p>
        </w:tc>
        <w:tc>
          <w:tcPr>
            <w:tcW w:w="1070" w:type="dxa"/>
            <w:vMerge/>
            <w:vAlign w:val="center"/>
          </w:tcPr>
          <w:p w:rsidR="00901BD5" w:rsidRDefault="00901BD5" w:rsidP="00A77156">
            <w:pPr>
              <w:jc w:val="center"/>
            </w:pPr>
          </w:p>
        </w:tc>
      </w:tr>
      <w:tr w:rsidR="00901BD5" w:rsidTr="00412CDE">
        <w:tc>
          <w:tcPr>
            <w:tcW w:w="1101" w:type="dxa"/>
            <w:vMerge w:val="restart"/>
            <w:vAlign w:val="center"/>
          </w:tcPr>
          <w:p w:rsidR="00901BD5" w:rsidRDefault="005633B0" w:rsidP="00FA50F5">
            <w:pPr>
              <w:jc w:val="center"/>
            </w:pPr>
            <w:r>
              <w:rPr>
                <w:rFonts w:hint="eastAsia"/>
              </w:rPr>
              <w:t>4</w:t>
            </w:r>
            <w:r>
              <w:rPr>
                <w:rFonts w:hint="eastAsia"/>
              </w:rPr>
              <w:t>预期作用（</w:t>
            </w:r>
            <w:r>
              <w:rPr>
                <w:rFonts w:hint="eastAsia"/>
              </w:rPr>
              <w:t>10</w:t>
            </w:r>
            <w:r>
              <w:rPr>
                <w:rFonts w:hint="eastAsia"/>
              </w:rPr>
              <w:t>分）</w:t>
            </w:r>
          </w:p>
        </w:tc>
        <w:tc>
          <w:tcPr>
            <w:tcW w:w="3260" w:type="dxa"/>
          </w:tcPr>
          <w:p w:rsidR="00901BD5" w:rsidRDefault="005633B0">
            <w:r>
              <w:rPr>
                <w:rFonts w:hint="eastAsia"/>
              </w:rPr>
              <w:t>成果转化容易，产业化作用明显，市场认可度高，对技术发展、相关产业（事业）带动作用明显。</w:t>
            </w:r>
          </w:p>
        </w:tc>
        <w:tc>
          <w:tcPr>
            <w:tcW w:w="1984" w:type="dxa"/>
            <w:vMerge w:val="restart"/>
            <w:vAlign w:val="center"/>
          </w:tcPr>
          <w:p w:rsidR="00901BD5" w:rsidRDefault="005633B0" w:rsidP="00412CDE">
            <w:r>
              <w:rPr>
                <w:rFonts w:hint="eastAsia"/>
              </w:rPr>
              <w:t>预期产品产业化快速（</w:t>
            </w:r>
            <w:r>
              <w:rPr>
                <w:rFonts w:hint="eastAsia"/>
              </w:rPr>
              <w:t>3</w:t>
            </w:r>
            <w:r>
              <w:rPr>
                <w:rFonts w:hint="eastAsia"/>
              </w:rPr>
              <w:t>分），行业认可度高（</w:t>
            </w:r>
            <w:r>
              <w:rPr>
                <w:rFonts w:hint="eastAsia"/>
              </w:rPr>
              <w:t>4</w:t>
            </w:r>
            <w:r>
              <w:rPr>
                <w:rFonts w:hint="eastAsia"/>
              </w:rPr>
              <w:t>分），对行业发展起引导作用明显（</w:t>
            </w:r>
            <w:r>
              <w:rPr>
                <w:rFonts w:hint="eastAsia"/>
              </w:rPr>
              <w:t>3</w:t>
            </w:r>
            <w:r>
              <w:rPr>
                <w:rFonts w:hint="eastAsia"/>
              </w:rPr>
              <w:t>分）。</w:t>
            </w:r>
          </w:p>
          <w:p w:rsidR="00901BD5" w:rsidRDefault="00901BD5" w:rsidP="00412CDE"/>
          <w:p w:rsidR="00901BD5" w:rsidRDefault="00901BD5" w:rsidP="00412CDE"/>
          <w:p w:rsidR="00901BD5" w:rsidRDefault="00901BD5" w:rsidP="00412CDE"/>
          <w:p w:rsidR="00901BD5" w:rsidRDefault="00901BD5" w:rsidP="00412CDE"/>
          <w:p w:rsidR="00901BD5" w:rsidRDefault="00901BD5" w:rsidP="00412CDE"/>
        </w:tc>
        <w:tc>
          <w:tcPr>
            <w:tcW w:w="1107" w:type="dxa"/>
            <w:vAlign w:val="center"/>
          </w:tcPr>
          <w:p w:rsidR="00901BD5" w:rsidRDefault="005633B0" w:rsidP="00A77156">
            <w:pPr>
              <w:jc w:val="center"/>
            </w:pPr>
            <w:r>
              <w:rPr>
                <w:rFonts w:hint="eastAsia"/>
              </w:rPr>
              <w:lastRenderedPageBreak/>
              <w:t>7-10</w:t>
            </w:r>
            <w:r>
              <w:rPr>
                <w:rFonts w:hint="eastAsia"/>
              </w:rPr>
              <w:t>分</w:t>
            </w:r>
          </w:p>
        </w:tc>
        <w:tc>
          <w:tcPr>
            <w:tcW w:w="1070" w:type="dxa"/>
            <w:vMerge w:val="restart"/>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成果转化较快，产业化作用较明显，市场认可度偏高，对技术发展、相关产业（事业）带动作用较明显。</w:t>
            </w:r>
          </w:p>
        </w:tc>
        <w:tc>
          <w:tcPr>
            <w:tcW w:w="1984" w:type="dxa"/>
            <w:vMerge/>
          </w:tcPr>
          <w:p w:rsidR="00901BD5" w:rsidRDefault="00901BD5"/>
        </w:tc>
        <w:tc>
          <w:tcPr>
            <w:tcW w:w="1107" w:type="dxa"/>
            <w:vAlign w:val="center"/>
          </w:tcPr>
          <w:p w:rsidR="00901BD5" w:rsidRDefault="005633B0" w:rsidP="00A77156">
            <w:pPr>
              <w:jc w:val="center"/>
            </w:pPr>
            <w:r>
              <w:rPr>
                <w:rFonts w:hint="eastAsia"/>
              </w:rPr>
              <w:t>4-7</w:t>
            </w:r>
            <w:r>
              <w:rPr>
                <w:rFonts w:hint="eastAsia"/>
              </w:rPr>
              <w:t>分</w:t>
            </w:r>
          </w:p>
        </w:tc>
        <w:tc>
          <w:tcPr>
            <w:tcW w:w="1070" w:type="dxa"/>
            <w:vMerge/>
            <w:vAlign w:val="center"/>
          </w:tcPr>
          <w:p w:rsidR="00901BD5" w:rsidRDefault="00901BD5" w:rsidP="00A77156">
            <w:pPr>
              <w:jc w:val="center"/>
            </w:pPr>
          </w:p>
        </w:tc>
      </w:tr>
      <w:tr w:rsidR="00901BD5" w:rsidTr="00A77156">
        <w:tc>
          <w:tcPr>
            <w:tcW w:w="1101" w:type="dxa"/>
            <w:vMerge/>
            <w:vAlign w:val="center"/>
          </w:tcPr>
          <w:p w:rsidR="00901BD5" w:rsidRDefault="00901BD5" w:rsidP="00FA50F5">
            <w:pPr>
              <w:jc w:val="center"/>
            </w:pPr>
          </w:p>
        </w:tc>
        <w:tc>
          <w:tcPr>
            <w:tcW w:w="3260" w:type="dxa"/>
          </w:tcPr>
          <w:p w:rsidR="00901BD5" w:rsidRDefault="005633B0">
            <w:r>
              <w:rPr>
                <w:rFonts w:hint="eastAsia"/>
              </w:rPr>
              <w:t>成果转化一般，产业化作用一般，市场认可度一般，对技术发展、相关产业（事业）带动作用一般。</w:t>
            </w:r>
          </w:p>
        </w:tc>
        <w:tc>
          <w:tcPr>
            <w:tcW w:w="1984" w:type="dxa"/>
            <w:vMerge/>
          </w:tcPr>
          <w:p w:rsidR="00901BD5" w:rsidRDefault="00901BD5"/>
        </w:tc>
        <w:tc>
          <w:tcPr>
            <w:tcW w:w="1107" w:type="dxa"/>
            <w:vAlign w:val="center"/>
          </w:tcPr>
          <w:p w:rsidR="00901BD5" w:rsidRDefault="005633B0" w:rsidP="00A77156">
            <w:pPr>
              <w:jc w:val="center"/>
            </w:pPr>
            <w:r>
              <w:rPr>
                <w:rFonts w:hint="eastAsia"/>
              </w:rPr>
              <w:t>0-4</w:t>
            </w:r>
            <w:r>
              <w:rPr>
                <w:rFonts w:hint="eastAsia"/>
              </w:rPr>
              <w:t>分</w:t>
            </w:r>
          </w:p>
        </w:tc>
        <w:tc>
          <w:tcPr>
            <w:tcW w:w="1070" w:type="dxa"/>
            <w:vMerge/>
            <w:vAlign w:val="center"/>
          </w:tcPr>
          <w:p w:rsidR="00901BD5" w:rsidRDefault="00901BD5" w:rsidP="00A77156">
            <w:pPr>
              <w:jc w:val="center"/>
            </w:pPr>
          </w:p>
        </w:tc>
      </w:tr>
      <w:tr w:rsidR="00901BD5" w:rsidTr="00412CDE">
        <w:tc>
          <w:tcPr>
            <w:tcW w:w="1101" w:type="dxa"/>
            <w:vMerge w:val="restart"/>
            <w:vAlign w:val="center"/>
          </w:tcPr>
          <w:p w:rsidR="00901BD5" w:rsidRDefault="005633B0" w:rsidP="00FA50F5">
            <w:pPr>
              <w:jc w:val="center"/>
            </w:pPr>
            <w:r>
              <w:rPr>
                <w:rFonts w:hint="eastAsia"/>
              </w:rPr>
              <w:lastRenderedPageBreak/>
              <w:t>5</w:t>
            </w:r>
            <w:r>
              <w:rPr>
                <w:rFonts w:hint="eastAsia"/>
              </w:rPr>
              <w:t>完成能力（</w:t>
            </w:r>
            <w:r>
              <w:rPr>
                <w:rFonts w:hint="eastAsia"/>
              </w:rPr>
              <w:t>20</w:t>
            </w:r>
            <w:r>
              <w:rPr>
                <w:rFonts w:hint="eastAsia"/>
              </w:rPr>
              <w:t>分）</w:t>
            </w:r>
          </w:p>
        </w:tc>
        <w:tc>
          <w:tcPr>
            <w:tcW w:w="3260" w:type="dxa"/>
          </w:tcPr>
          <w:p w:rsidR="00901BD5" w:rsidRDefault="005633B0">
            <w:r>
              <w:rPr>
                <w:rFonts w:hint="eastAsia"/>
              </w:rPr>
              <w:t>行业影响力强，研发能力强，产品技术稳定，具备标准化专业人才，前期研究工作充分。</w:t>
            </w:r>
          </w:p>
        </w:tc>
        <w:tc>
          <w:tcPr>
            <w:tcW w:w="1984" w:type="dxa"/>
            <w:vMerge w:val="restart"/>
            <w:vAlign w:val="center"/>
          </w:tcPr>
          <w:p w:rsidR="00901BD5" w:rsidRDefault="005633B0" w:rsidP="00412CDE">
            <w:r>
              <w:rPr>
                <w:rFonts w:hint="eastAsia"/>
              </w:rPr>
              <w:t>企业在行业地位突出（</w:t>
            </w:r>
            <w:r>
              <w:rPr>
                <w:rFonts w:hint="eastAsia"/>
              </w:rPr>
              <w:t>5</w:t>
            </w:r>
            <w:r>
              <w:rPr>
                <w:rFonts w:hint="eastAsia"/>
              </w:rPr>
              <w:t>分），研发投入占公司营业额</w:t>
            </w:r>
            <w:r>
              <w:rPr>
                <w:rFonts w:hint="eastAsia"/>
              </w:rPr>
              <w:t>10%</w:t>
            </w:r>
            <w:r>
              <w:rPr>
                <w:rFonts w:hint="eastAsia"/>
              </w:rPr>
              <w:t>以上（</w:t>
            </w:r>
            <w:r>
              <w:rPr>
                <w:rFonts w:hint="eastAsia"/>
              </w:rPr>
              <w:t>5</w:t>
            </w:r>
            <w:r>
              <w:rPr>
                <w:rFonts w:hint="eastAsia"/>
              </w:rPr>
              <w:t>分），具有标准化专业人才（</w:t>
            </w:r>
            <w:r>
              <w:rPr>
                <w:rFonts w:hint="eastAsia"/>
              </w:rPr>
              <w:t>5</w:t>
            </w:r>
            <w:r>
              <w:rPr>
                <w:rFonts w:hint="eastAsia"/>
              </w:rPr>
              <w:t>分），有详细项目研究报告（</w:t>
            </w:r>
            <w:r>
              <w:rPr>
                <w:rFonts w:hint="eastAsia"/>
              </w:rPr>
              <w:t>5</w:t>
            </w:r>
            <w:r>
              <w:rPr>
                <w:rFonts w:hint="eastAsia"/>
              </w:rPr>
              <w:t>分）。</w:t>
            </w:r>
          </w:p>
        </w:tc>
        <w:tc>
          <w:tcPr>
            <w:tcW w:w="1107" w:type="dxa"/>
            <w:vAlign w:val="center"/>
          </w:tcPr>
          <w:p w:rsidR="00901BD5" w:rsidRDefault="005633B0" w:rsidP="00A77156">
            <w:pPr>
              <w:jc w:val="center"/>
            </w:pPr>
            <w:r>
              <w:rPr>
                <w:rFonts w:hint="eastAsia"/>
              </w:rPr>
              <w:t>15-20</w:t>
            </w:r>
            <w:r>
              <w:rPr>
                <w:rFonts w:hint="eastAsia"/>
              </w:rPr>
              <w:t>分</w:t>
            </w:r>
          </w:p>
        </w:tc>
        <w:tc>
          <w:tcPr>
            <w:tcW w:w="1070" w:type="dxa"/>
            <w:vMerge w:val="restart"/>
            <w:vAlign w:val="center"/>
          </w:tcPr>
          <w:p w:rsidR="00901BD5" w:rsidRDefault="00901BD5" w:rsidP="00A77156">
            <w:pPr>
              <w:jc w:val="center"/>
            </w:pPr>
          </w:p>
        </w:tc>
      </w:tr>
      <w:tr w:rsidR="00901BD5" w:rsidTr="00A77156">
        <w:tc>
          <w:tcPr>
            <w:tcW w:w="1101" w:type="dxa"/>
            <w:vMerge/>
          </w:tcPr>
          <w:p w:rsidR="00901BD5" w:rsidRDefault="00901BD5"/>
        </w:tc>
        <w:tc>
          <w:tcPr>
            <w:tcW w:w="3260" w:type="dxa"/>
          </w:tcPr>
          <w:p w:rsidR="00901BD5" w:rsidRDefault="005633B0">
            <w:r>
              <w:rPr>
                <w:rFonts w:hint="eastAsia"/>
              </w:rPr>
              <w:t>行业影响力较强，研发能力较强，产品技术较稳定，具备标准化专业人才。</w:t>
            </w:r>
          </w:p>
        </w:tc>
        <w:tc>
          <w:tcPr>
            <w:tcW w:w="1984" w:type="dxa"/>
            <w:vMerge/>
          </w:tcPr>
          <w:p w:rsidR="00901BD5" w:rsidRDefault="00901BD5"/>
        </w:tc>
        <w:tc>
          <w:tcPr>
            <w:tcW w:w="1107" w:type="dxa"/>
            <w:vAlign w:val="center"/>
          </w:tcPr>
          <w:p w:rsidR="00901BD5" w:rsidRDefault="005633B0" w:rsidP="00A77156">
            <w:pPr>
              <w:jc w:val="center"/>
            </w:pPr>
            <w:r>
              <w:rPr>
                <w:rFonts w:hint="eastAsia"/>
              </w:rPr>
              <w:t>10-15</w:t>
            </w:r>
            <w:r>
              <w:rPr>
                <w:rFonts w:hint="eastAsia"/>
              </w:rPr>
              <w:t>分</w:t>
            </w:r>
          </w:p>
        </w:tc>
        <w:tc>
          <w:tcPr>
            <w:tcW w:w="1070" w:type="dxa"/>
            <w:vMerge/>
            <w:vAlign w:val="center"/>
          </w:tcPr>
          <w:p w:rsidR="00901BD5" w:rsidRDefault="00901BD5" w:rsidP="00A77156">
            <w:pPr>
              <w:jc w:val="center"/>
            </w:pPr>
          </w:p>
        </w:tc>
      </w:tr>
      <w:tr w:rsidR="00901BD5" w:rsidTr="00A77156">
        <w:tc>
          <w:tcPr>
            <w:tcW w:w="1101" w:type="dxa"/>
            <w:vMerge/>
          </w:tcPr>
          <w:p w:rsidR="00901BD5" w:rsidRDefault="00901BD5"/>
        </w:tc>
        <w:tc>
          <w:tcPr>
            <w:tcW w:w="3260" w:type="dxa"/>
          </w:tcPr>
          <w:p w:rsidR="00901BD5" w:rsidRDefault="005633B0">
            <w:r>
              <w:rPr>
                <w:rFonts w:hint="eastAsia"/>
              </w:rPr>
              <w:t>行业影响力一般，研发能力一般，产品技术较稳定，不具备标准化专业人才。</w:t>
            </w:r>
          </w:p>
        </w:tc>
        <w:tc>
          <w:tcPr>
            <w:tcW w:w="1984" w:type="dxa"/>
            <w:vMerge/>
          </w:tcPr>
          <w:p w:rsidR="00901BD5" w:rsidRDefault="00901BD5"/>
        </w:tc>
        <w:tc>
          <w:tcPr>
            <w:tcW w:w="1107" w:type="dxa"/>
            <w:vAlign w:val="center"/>
          </w:tcPr>
          <w:p w:rsidR="00901BD5" w:rsidRDefault="005633B0" w:rsidP="00A77156">
            <w:pPr>
              <w:jc w:val="center"/>
            </w:pPr>
            <w:r>
              <w:rPr>
                <w:rFonts w:hint="eastAsia"/>
              </w:rPr>
              <w:t>0-10</w:t>
            </w:r>
            <w:r>
              <w:rPr>
                <w:rFonts w:hint="eastAsia"/>
              </w:rPr>
              <w:t>分</w:t>
            </w:r>
          </w:p>
        </w:tc>
        <w:tc>
          <w:tcPr>
            <w:tcW w:w="1070" w:type="dxa"/>
            <w:vMerge/>
            <w:vAlign w:val="center"/>
          </w:tcPr>
          <w:p w:rsidR="00901BD5" w:rsidRDefault="00901BD5" w:rsidP="00A77156">
            <w:pPr>
              <w:jc w:val="center"/>
            </w:pPr>
          </w:p>
        </w:tc>
      </w:tr>
      <w:tr w:rsidR="00901BD5">
        <w:trPr>
          <w:trHeight w:val="915"/>
        </w:trPr>
        <w:tc>
          <w:tcPr>
            <w:tcW w:w="7452" w:type="dxa"/>
            <w:gridSpan w:val="4"/>
            <w:vAlign w:val="center"/>
          </w:tcPr>
          <w:p w:rsidR="00901BD5" w:rsidRDefault="005633B0">
            <w:pPr>
              <w:jc w:val="center"/>
            </w:pPr>
            <w:r>
              <w:rPr>
                <w:rFonts w:hint="eastAsia"/>
              </w:rPr>
              <w:t>合计</w:t>
            </w:r>
          </w:p>
        </w:tc>
        <w:tc>
          <w:tcPr>
            <w:tcW w:w="1070" w:type="dxa"/>
          </w:tcPr>
          <w:p w:rsidR="00901BD5" w:rsidRDefault="00901BD5"/>
        </w:tc>
      </w:tr>
    </w:tbl>
    <w:p w:rsidR="00466384" w:rsidRDefault="00466384" w:rsidP="00466384">
      <w:pPr>
        <w:spacing w:beforeLines="100" w:before="312"/>
        <w:rPr>
          <w:rFonts w:ascii="楷体_GB2312" w:eastAsia="楷体_GB2312"/>
          <w:sz w:val="24"/>
          <w:szCs w:val="24"/>
        </w:rPr>
      </w:pPr>
    </w:p>
    <w:p w:rsidR="00901BD5" w:rsidRPr="00412CDE" w:rsidRDefault="005633B0" w:rsidP="00466384">
      <w:pPr>
        <w:spacing w:beforeLines="100" w:before="312"/>
        <w:rPr>
          <w:rFonts w:asciiTheme="minorEastAsia" w:hAnsiTheme="minorEastAsia"/>
          <w:sz w:val="32"/>
          <w:szCs w:val="24"/>
        </w:rPr>
      </w:pPr>
      <w:r w:rsidRPr="00412CDE">
        <w:rPr>
          <w:rFonts w:asciiTheme="minorEastAsia" w:hAnsiTheme="minorEastAsia" w:hint="eastAsia"/>
          <w:sz w:val="32"/>
          <w:szCs w:val="24"/>
        </w:rPr>
        <w:t>注：本次评分总分为100分，不设立加分项，60分合格，可提交公示。</w:t>
      </w:r>
    </w:p>
    <w:p w:rsidR="00412CDE" w:rsidRDefault="005633B0" w:rsidP="00466384">
      <w:pPr>
        <w:spacing w:beforeLines="100" w:before="312"/>
        <w:rPr>
          <w:rFonts w:ascii="楷体_GB2312" w:eastAsia="楷体_GB2312"/>
          <w:sz w:val="24"/>
          <w:szCs w:val="24"/>
        </w:rPr>
      </w:pPr>
      <w:r w:rsidRPr="00412CDE">
        <w:rPr>
          <w:rFonts w:asciiTheme="minorEastAsia" w:hAnsiTheme="minorEastAsia" w:hint="eastAsia"/>
          <w:sz w:val="32"/>
          <w:szCs w:val="24"/>
        </w:rPr>
        <w:t>审核组长（签名）</w:t>
      </w:r>
      <w:r>
        <w:rPr>
          <w:rFonts w:ascii="楷体_GB2312" w:eastAsia="楷体_GB2312" w:hint="eastAsia"/>
          <w:sz w:val="24"/>
          <w:szCs w:val="24"/>
        </w:rPr>
        <w:t>：</w:t>
      </w:r>
      <w:r>
        <w:rPr>
          <w:rFonts w:ascii="楷体_GB2312" w:eastAsia="楷体_GB2312" w:hint="eastAsia"/>
          <w:sz w:val="24"/>
          <w:szCs w:val="24"/>
          <w:u w:val="single"/>
        </w:rPr>
        <w:t xml:space="preserve">       </w:t>
      </w:r>
      <w:r w:rsidR="009269B8">
        <w:rPr>
          <w:rFonts w:ascii="楷体_GB2312" w:eastAsia="楷体_GB2312" w:hint="eastAsia"/>
          <w:sz w:val="24"/>
          <w:szCs w:val="24"/>
          <w:u w:val="single"/>
        </w:rPr>
        <w:t xml:space="preserve">              </w:t>
      </w:r>
      <w:bookmarkStart w:id="0" w:name="_GoBack"/>
      <w:bookmarkEnd w:id="0"/>
      <w:r w:rsidR="009269B8">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901BD5" w:rsidRDefault="005633B0" w:rsidP="00E07FD2">
      <w:pPr>
        <w:spacing w:beforeLines="100" w:before="312"/>
      </w:pPr>
      <w:r w:rsidRPr="00412CDE">
        <w:rPr>
          <w:rFonts w:asciiTheme="minorEastAsia" w:hAnsiTheme="minorEastAsia" w:hint="eastAsia"/>
          <w:sz w:val="32"/>
          <w:szCs w:val="24"/>
        </w:rPr>
        <w:t>审核组成员（签名）：</w:t>
      </w:r>
      <w:r>
        <w:rPr>
          <w:rFonts w:ascii="楷体_GB2312" w:eastAsia="楷体_GB2312" w:hint="eastAsia"/>
          <w:sz w:val="24"/>
          <w:szCs w:val="24"/>
          <w:u w:val="single"/>
        </w:rPr>
        <w:t xml:space="preserve">           </w:t>
      </w:r>
      <w:r w:rsidR="00244646">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r w:rsidR="00275107">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sectPr w:rsidR="00901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96" w:rsidRDefault="006B3E96" w:rsidP="00222C2C">
      <w:r>
        <w:separator/>
      </w:r>
    </w:p>
  </w:endnote>
  <w:endnote w:type="continuationSeparator" w:id="0">
    <w:p w:rsidR="006B3E96" w:rsidRDefault="006B3E96" w:rsidP="0022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96" w:rsidRDefault="006B3E96" w:rsidP="00222C2C">
      <w:r>
        <w:separator/>
      </w:r>
    </w:p>
  </w:footnote>
  <w:footnote w:type="continuationSeparator" w:id="0">
    <w:p w:rsidR="006B3E96" w:rsidRDefault="006B3E96" w:rsidP="00222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721"/>
    <w:rsid w:val="000243E2"/>
    <w:rsid w:val="00057555"/>
    <w:rsid w:val="00083AE1"/>
    <w:rsid w:val="000A083A"/>
    <w:rsid w:val="000A5796"/>
    <w:rsid w:val="000A7F72"/>
    <w:rsid w:val="000C330D"/>
    <w:rsid w:val="000D4D44"/>
    <w:rsid w:val="000E1BC6"/>
    <w:rsid w:val="000F2B2C"/>
    <w:rsid w:val="00126DC8"/>
    <w:rsid w:val="00153CC1"/>
    <w:rsid w:val="00196C14"/>
    <w:rsid w:val="00196E26"/>
    <w:rsid w:val="001979E8"/>
    <w:rsid w:val="001A14CF"/>
    <w:rsid w:val="001A58AF"/>
    <w:rsid w:val="001A5F68"/>
    <w:rsid w:val="001B2DEE"/>
    <w:rsid w:val="001B63EE"/>
    <w:rsid w:val="001C7721"/>
    <w:rsid w:val="001E3C2A"/>
    <w:rsid w:val="001F1002"/>
    <w:rsid w:val="001F1CF0"/>
    <w:rsid w:val="00222C2C"/>
    <w:rsid w:val="00231AF9"/>
    <w:rsid w:val="00244646"/>
    <w:rsid w:val="00246E75"/>
    <w:rsid w:val="00253595"/>
    <w:rsid w:val="00271582"/>
    <w:rsid w:val="00275107"/>
    <w:rsid w:val="002872A1"/>
    <w:rsid w:val="00291DB8"/>
    <w:rsid w:val="0029547E"/>
    <w:rsid w:val="002A2F8D"/>
    <w:rsid w:val="002D0760"/>
    <w:rsid w:val="002E07C1"/>
    <w:rsid w:val="002E58A9"/>
    <w:rsid w:val="00306973"/>
    <w:rsid w:val="003126D7"/>
    <w:rsid w:val="00336F4C"/>
    <w:rsid w:val="003564B3"/>
    <w:rsid w:val="0035737F"/>
    <w:rsid w:val="00357ADE"/>
    <w:rsid w:val="003635E8"/>
    <w:rsid w:val="00385A4B"/>
    <w:rsid w:val="003A63DB"/>
    <w:rsid w:val="003D1CA9"/>
    <w:rsid w:val="003D7399"/>
    <w:rsid w:val="003F67A2"/>
    <w:rsid w:val="0040716F"/>
    <w:rsid w:val="00412CDE"/>
    <w:rsid w:val="00462885"/>
    <w:rsid w:val="00465371"/>
    <w:rsid w:val="00466384"/>
    <w:rsid w:val="004666CC"/>
    <w:rsid w:val="004B29D0"/>
    <w:rsid w:val="004C3DDA"/>
    <w:rsid w:val="004D3B2B"/>
    <w:rsid w:val="004D4643"/>
    <w:rsid w:val="004D7315"/>
    <w:rsid w:val="004E3466"/>
    <w:rsid w:val="004E69D6"/>
    <w:rsid w:val="004E7CF1"/>
    <w:rsid w:val="004E7E2F"/>
    <w:rsid w:val="004F0179"/>
    <w:rsid w:val="004F0273"/>
    <w:rsid w:val="004F3627"/>
    <w:rsid w:val="00503C63"/>
    <w:rsid w:val="00505DF7"/>
    <w:rsid w:val="00526528"/>
    <w:rsid w:val="00532B12"/>
    <w:rsid w:val="0054612D"/>
    <w:rsid w:val="00550981"/>
    <w:rsid w:val="005616A7"/>
    <w:rsid w:val="005633B0"/>
    <w:rsid w:val="005645A4"/>
    <w:rsid w:val="00566F7A"/>
    <w:rsid w:val="00573DA8"/>
    <w:rsid w:val="005F6222"/>
    <w:rsid w:val="0060265B"/>
    <w:rsid w:val="006115DB"/>
    <w:rsid w:val="00614DF0"/>
    <w:rsid w:val="00615A49"/>
    <w:rsid w:val="0062468D"/>
    <w:rsid w:val="0063311B"/>
    <w:rsid w:val="0065461A"/>
    <w:rsid w:val="00686FDB"/>
    <w:rsid w:val="00692B20"/>
    <w:rsid w:val="006B3E96"/>
    <w:rsid w:val="006B42E2"/>
    <w:rsid w:val="006B5149"/>
    <w:rsid w:val="006D65C4"/>
    <w:rsid w:val="006F3CDD"/>
    <w:rsid w:val="0070536B"/>
    <w:rsid w:val="0070584A"/>
    <w:rsid w:val="007151F3"/>
    <w:rsid w:val="00734903"/>
    <w:rsid w:val="007574BF"/>
    <w:rsid w:val="007D23D1"/>
    <w:rsid w:val="007F480B"/>
    <w:rsid w:val="00803E07"/>
    <w:rsid w:val="00810990"/>
    <w:rsid w:val="00820CB6"/>
    <w:rsid w:val="0083109C"/>
    <w:rsid w:val="00834499"/>
    <w:rsid w:val="00883F13"/>
    <w:rsid w:val="008A17EF"/>
    <w:rsid w:val="008A467C"/>
    <w:rsid w:val="008C31D2"/>
    <w:rsid w:val="00901BD5"/>
    <w:rsid w:val="00921E52"/>
    <w:rsid w:val="00925999"/>
    <w:rsid w:val="009269B8"/>
    <w:rsid w:val="00926DAB"/>
    <w:rsid w:val="00943529"/>
    <w:rsid w:val="009532FD"/>
    <w:rsid w:val="009728FA"/>
    <w:rsid w:val="009F52A8"/>
    <w:rsid w:val="00A15026"/>
    <w:rsid w:val="00A3060C"/>
    <w:rsid w:val="00A42395"/>
    <w:rsid w:val="00A44A96"/>
    <w:rsid w:val="00A54B23"/>
    <w:rsid w:val="00A54EE2"/>
    <w:rsid w:val="00A77156"/>
    <w:rsid w:val="00A86182"/>
    <w:rsid w:val="00AA452B"/>
    <w:rsid w:val="00AB073D"/>
    <w:rsid w:val="00AD5256"/>
    <w:rsid w:val="00AE790C"/>
    <w:rsid w:val="00B026BA"/>
    <w:rsid w:val="00B12017"/>
    <w:rsid w:val="00B311CF"/>
    <w:rsid w:val="00B5183D"/>
    <w:rsid w:val="00B7329E"/>
    <w:rsid w:val="00B91E9D"/>
    <w:rsid w:val="00B93239"/>
    <w:rsid w:val="00BF327D"/>
    <w:rsid w:val="00BF6848"/>
    <w:rsid w:val="00C15894"/>
    <w:rsid w:val="00C2102D"/>
    <w:rsid w:val="00C27894"/>
    <w:rsid w:val="00C3482A"/>
    <w:rsid w:val="00C44395"/>
    <w:rsid w:val="00C70A78"/>
    <w:rsid w:val="00C83086"/>
    <w:rsid w:val="00CA47EC"/>
    <w:rsid w:val="00CD5EB5"/>
    <w:rsid w:val="00CE7F4F"/>
    <w:rsid w:val="00D22878"/>
    <w:rsid w:val="00D338B0"/>
    <w:rsid w:val="00D77540"/>
    <w:rsid w:val="00D90CDA"/>
    <w:rsid w:val="00DA0E81"/>
    <w:rsid w:val="00DA4705"/>
    <w:rsid w:val="00DE0F50"/>
    <w:rsid w:val="00DE71A7"/>
    <w:rsid w:val="00E0271B"/>
    <w:rsid w:val="00E05838"/>
    <w:rsid w:val="00E05F6D"/>
    <w:rsid w:val="00E069B2"/>
    <w:rsid w:val="00E07FD2"/>
    <w:rsid w:val="00E7070F"/>
    <w:rsid w:val="00E94E96"/>
    <w:rsid w:val="00EB3A38"/>
    <w:rsid w:val="00ED169B"/>
    <w:rsid w:val="00EF38B6"/>
    <w:rsid w:val="00F0645F"/>
    <w:rsid w:val="00F33AAF"/>
    <w:rsid w:val="00F35139"/>
    <w:rsid w:val="00F51ABC"/>
    <w:rsid w:val="00F57AED"/>
    <w:rsid w:val="00F62122"/>
    <w:rsid w:val="00F745A5"/>
    <w:rsid w:val="00F90184"/>
    <w:rsid w:val="00F9048C"/>
    <w:rsid w:val="00FA50F5"/>
    <w:rsid w:val="00FB2836"/>
    <w:rsid w:val="00FC1151"/>
    <w:rsid w:val="00FE5320"/>
    <w:rsid w:val="00FF29F5"/>
    <w:rsid w:val="12F60CE9"/>
    <w:rsid w:val="136E5648"/>
    <w:rsid w:val="148A38C4"/>
    <w:rsid w:val="19342FBE"/>
    <w:rsid w:val="24C50827"/>
    <w:rsid w:val="2EBB2766"/>
    <w:rsid w:val="30144B94"/>
    <w:rsid w:val="4644403C"/>
    <w:rsid w:val="62423351"/>
    <w:rsid w:val="687E03E7"/>
    <w:rsid w:val="6D75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22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2C2C"/>
    <w:rPr>
      <w:kern w:val="2"/>
      <w:sz w:val="18"/>
      <w:szCs w:val="18"/>
    </w:rPr>
  </w:style>
  <w:style w:type="paragraph" w:styleId="a5">
    <w:name w:val="footer"/>
    <w:basedOn w:val="a"/>
    <w:link w:val="Char0"/>
    <w:uiPriority w:val="99"/>
    <w:unhideWhenUsed/>
    <w:rsid w:val="00222C2C"/>
    <w:pPr>
      <w:tabs>
        <w:tab w:val="center" w:pos="4153"/>
        <w:tab w:val="right" w:pos="8306"/>
      </w:tabs>
      <w:snapToGrid w:val="0"/>
      <w:jc w:val="left"/>
    </w:pPr>
    <w:rPr>
      <w:sz w:val="18"/>
      <w:szCs w:val="18"/>
    </w:rPr>
  </w:style>
  <w:style w:type="character" w:customStyle="1" w:styleId="Char0">
    <w:name w:val="页脚 Char"/>
    <w:basedOn w:val="a0"/>
    <w:link w:val="a5"/>
    <w:uiPriority w:val="99"/>
    <w:rsid w:val="00222C2C"/>
    <w:rPr>
      <w:kern w:val="2"/>
      <w:sz w:val="18"/>
      <w:szCs w:val="18"/>
    </w:rPr>
  </w:style>
  <w:style w:type="paragraph" w:styleId="a6">
    <w:name w:val="Balloon Text"/>
    <w:basedOn w:val="a"/>
    <w:link w:val="Char1"/>
    <w:uiPriority w:val="99"/>
    <w:semiHidden/>
    <w:unhideWhenUsed/>
    <w:rsid w:val="001F1002"/>
    <w:rPr>
      <w:sz w:val="18"/>
      <w:szCs w:val="18"/>
    </w:rPr>
  </w:style>
  <w:style w:type="character" w:customStyle="1" w:styleId="Char1">
    <w:name w:val="批注框文本 Char"/>
    <w:basedOn w:val="a0"/>
    <w:link w:val="a6"/>
    <w:uiPriority w:val="99"/>
    <w:semiHidden/>
    <w:rsid w:val="001F10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1099</Characters>
  <Application>Microsoft Office Word</Application>
  <DocSecurity>0</DocSecurity>
  <Lines>9</Lines>
  <Paragraphs>2</Paragraphs>
  <ScaleCrop>false</ScaleCrop>
  <Company>Chinese ORG</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47</cp:revision>
  <cp:lastPrinted>2019-04-18T02:44:00Z</cp:lastPrinted>
  <dcterms:created xsi:type="dcterms:W3CDTF">2017-05-15T06:45:00Z</dcterms:created>
  <dcterms:modified xsi:type="dcterms:W3CDTF">2020-09-18T01:51:00Z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